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0eac215989e4514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097-12-0052-01-1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3419009582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341901001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городского поселения г. Новоаннинский Новоаннинского муниципального района Волгоградской области.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Май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3: Сведения об оснащенности приборами учета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Тепловой энергия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Рекомендации</w:t>
            </w:r>
          </w:p>
        </w:tc>
        <w:tc>
          <w:p>
            <w:r>
              <w:t>Рекомендации не указаны</w:t>
            </w:r>
          </w:p>
        </w:tc>
      </w:tr>
      <w:tr>
        <w:tc>
          <w:p>
            <w:pPr>
              <w:ind w:left="800"/>
            </w:pPr>
            <w:r>
              <w:t>Приложение 5: Сведения по балансу электрической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Следующий год 2012</w:t>
            </w:r>
          </w:p>
        </w:tc>
        <w:tc>
          <w:p>
            <w:r>
              <w:t>Расход не равен приходу</w:t>
            </w:r>
          </w:p>
        </w:tc>
      </w:tr>
      <w:tr>
        <w:tc>
          <w:p>
            <w:pPr>
              <w:ind w:left="1600"/>
            </w:pPr>
            <w:r>
              <w:t>Следующий год 2013</w:t>
            </w:r>
          </w:p>
        </w:tc>
        <w:tc>
          <w:p>
            <w:r>
              <w:t>Расход не равен приходу</w:t>
            </w:r>
          </w:p>
        </w:tc>
      </w:tr>
      <w:tr>
        <w:tc>
          <w:p>
            <w:pPr>
              <w:ind w:left="1600"/>
            </w:pPr>
            <w:r>
              <w:t>Следующий год 2014</w:t>
            </w:r>
          </w:p>
        </w:tc>
        <w:tc>
          <w:p>
            <w:r>
              <w:t>Расход не равен приходу</w:t>
            </w:r>
          </w:p>
        </w:tc>
      </w:tr>
      <w:tr>
        <w:tc>
          <w:p>
            <w:pPr>
              <w:ind w:left="1600"/>
            </w:pPr>
            <w:r>
              <w:t>Следующий год 2015</w:t>
            </w:r>
          </w:p>
        </w:tc>
        <w:tc>
          <w:p>
            <w:r>
              <w:t>Расход не равен приходу</w:t>
            </w:r>
          </w:p>
        </w:tc>
      </w:tr>
      <w:tr>
        <w:tc>
          <w:p>
            <w:pPr>
              <w:ind w:left="1600"/>
            </w:pPr>
            <w:r>
              <w:t>Следующий год 2016</w:t>
            </w:r>
          </w:p>
        </w:tc>
        <w:tc>
          <w:p>
            <w:r>
              <w:t>Расход не равен приходу</w:t>
            </w:r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Следующий год 2012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Следующий год 2013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Следующий год 2014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Следующий год 2015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Следующий год 2016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Фактические (отчетные)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pPr>
              <w:numPr>
                <w:ilvl w:val="0"/>
                <w:numId w:val="1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1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pPr>
              <w:numPr>
                <w:ilvl w:val="0"/>
                <w:numId w:val="2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2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pPr>
              <w:numPr>
                <w:ilvl w:val="0"/>
                <w:numId w:val="3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3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pPr>
              <w:numPr>
                <w:ilvl w:val="0"/>
                <w:numId w:val="4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4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Отчетный (базовый) год 2011</w:t>
            </w:r>
          </w:p>
        </w:tc>
        <w:tc>
          <w:p>
            <w:pPr>
              <w:numPr>
                <w:ilvl w:val="0"/>
                <w:numId w:val="5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5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000"/>
            </w:pPr>
            <w:r>
              <w:t>Нерациональные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Отчетный (базовый) год 2011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Следующий год 2012</w:t>
            </w:r>
          </w:p>
        </w:tc>
        <w:tc>
          <w:p>
            <w:r>
              <w:t>Данные о приходе и расходе некорректны</w:t>
            </w:r>
          </w:p>
        </w:tc>
      </w:tr>
      <w:tr>
        <w:tc>
          <w:p>
            <w:pPr>
              <w:ind w:left="1600"/>
            </w:pPr>
            <w:r>
              <w:t>Следующий год 2013</w:t>
            </w:r>
          </w:p>
        </w:tc>
        <w:tc>
          <w:p>
            <w:r>
              <w:t>Данные о приходе и расходе некорректны</w:t>
            </w:r>
          </w:p>
        </w:tc>
      </w:tr>
      <w:tr>
        <w:tc>
          <w:p>
            <w:pPr>
              <w:ind w:left="1600"/>
            </w:pPr>
            <w:r>
              <w:t>Следующий год 2014</w:t>
            </w:r>
          </w:p>
        </w:tc>
        <w:tc>
          <w:p>
            <w:r>
              <w:t>Данные о приходе и расходе некорректны</w:t>
            </w:r>
          </w:p>
        </w:tc>
      </w:tr>
      <w:tr>
        <w:tc>
          <w:p>
            <w:pPr>
              <w:ind w:left="1600"/>
            </w:pPr>
            <w:r>
              <w:t>Следующий год 2015</w:t>
            </w:r>
          </w:p>
        </w:tc>
        <w:tc>
          <w:p>
            <w:r>
              <w:t>Данные о приходе и расходе некорректны</w:t>
            </w:r>
          </w:p>
        </w:tc>
      </w:tr>
      <w:tr>
        <w:tc>
          <w:p>
            <w:pPr>
              <w:ind w:left="1600"/>
            </w:pPr>
            <w:r>
              <w:t>Следующий год 2016</w:t>
            </w:r>
          </w:p>
        </w:tc>
        <w:tc>
          <w:p>
            <w:r>
              <w:t>Данные о приходе и расходе некорректны</w:t>
            </w:r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Нерациональные технологические потери в системах отопления, вентиляции, горячего водоснабжения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Следующий год 2012</w:t>
            </w:r>
          </w:p>
        </w:tc>
        <w:tc>
          <w:p>
            <w:r>
              <w:t>Нерациональные технологические потери не соответствуют данным о приходе и расходе</w:t>
            </w:r>
          </w:p>
        </w:tc>
      </w:tr>
      <w:tr>
        <w:tc>
          <w:p>
            <w:pPr>
              <w:ind w:left="2400"/>
            </w:pPr>
            <w:r>
              <w:t>Следующий год 2013</w:t>
            </w:r>
          </w:p>
        </w:tc>
        <w:tc>
          <w:p>
            <w:r>
              <w:t>Нерациональные технологические потери не соответствуют данным о приходе и расходе</w:t>
            </w:r>
          </w:p>
        </w:tc>
      </w:tr>
      <w:tr>
        <w:tc>
          <w:p>
            <w:pPr>
              <w:ind w:left="2400"/>
            </w:pPr>
            <w:r>
              <w:t>Следующий год 2014</w:t>
            </w:r>
          </w:p>
        </w:tc>
        <w:tc>
          <w:p>
            <w:r>
              <w:t>Нерациональные технологические потери не соответствуют данным о приходе и расходе</w:t>
            </w:r>
          </w:p>
        </w:tc>
      </w:tr>
      <w:tr>
        <w:tc>
          <w:p>
            <w:pPr>
              <w:ind w:left="2400"/>
            </w:pPr>
            <w:r>
              <w:t>Следующий год 2015</w:t>
            </w:r>
          </w:p>
        </w:tc>
        <w:tc>
          <w:p>
            <w:r>
              <w:t>Нерациональные технологические потери не соответствуют данным о приходе и расходе</w:t>
            </w:r>
          </w:p>
        </w:tc>
      </w:tr>
      <w:tr>
        <w:tc>
          <w:p>
            <w:pPr>
              <w:ind w:left="2400"/>
            </w:pPr>
            <w:r>
              <w:t>Следующий год 2016</w:t>
            </w:r>
          </w:p>
        </w:tc>
        <w:tc>
          <w:p>
            <w:r>
              <w:t>Нерациональные технологические потери не соответствуют данным о приходе и расходе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800"/>
            </w:pPr>
            <w:r>
              <w:t>Приложение 8: Сведения по балансу потребления видов моторного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ВАЗ-2123              
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Потери топлива</w:t>
            </w:r>
          </w:p>
        </w:tc>
        <w:tc>
          <w:p>
            <w:r>
              <w:t>Значение потерь топлива указано некорректно</w:t>
            </w:r>
          </w:p>
        </w:tc>
      </w:tr>
      <w:tr>
        <w:tc>
          <w:p>
            <w:pPr>
              <w:ind w:left="1200"/>
            </w:pPr>
            <w:r>
              <w:t>Toyota Corolla               
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Потери топлива</w:t>
            </w:r>
          </w:p>
        </w:tc>
        <w:tc>
          <w:p>
            <w:r>
              <w:t>Значение потерь топлива указано некорректно</w:t>
            </w:r>
          </w:p>
        </w:tc>
      </w:tr>
      <w:tr>
        <w:tc>
          <w:p>
            <w:pPr>
              <w:ind w:left="800"/>
            </w:pPr>
            <w:r>
              <w:t>Приложение 12: Краткая характеристика объекта (зданий, строений и сооружений)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Жилой дом                                  
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Крыша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Подвальное помещение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Крыша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Организационные и малозатратные мероприятия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Набор записей перечня типовых мероприятий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Поддержание номинальных уровней напряжения в сетях.                                                       
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Проведение разъяснительной работы о необходимости экономии электроэнергии                                                       
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Сокращение области применения ламп накаливания и замена их энергосберегающими                                                       
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Чистка ( по графику ) светильников ламп.                                                       
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Установка тепловых экранов за батареями отопления                                                       
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Установка в унитазы сливного механизма с двойной кнопкой                                                       
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Установка регулятора воды                                                       
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1200"/>
            </w:pPr>
            <w:r>
              <w:t>Среднезатратные мероприятия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Набор записей перечня типовых мероприятий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Замена ламп ДРЛ-250 в уличных светильниках на светодиодные                                                    
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</w:tbl>
  </w:body>
</w:document>
</file>