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1e29c8c0ed847c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097-11-0012-01-1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3413503555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"Центр образования" Котельниковского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Банковские реквизиты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Расчетный счет</w:t>
            </w:r>
          </w:p>
        </w:tc>
        <w:tc>
          <w:p>
            <w:r>
              <w:t>Р/С указан не верно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Замена светильников с лампами накаливания на светодиодные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Средний срок окупаемости (план), лет</w:t>
            </w:r>
          </w:p>
        </w:tc>
        <w:tc>
          <w:p>
            <w:r>
              <w:t>Средний срок окупаемости (план) рассчитан не верно</w:t>
            </w:r>
          </w:p>
        </w:tc>
      </w:tr>
    </w:tbl>
  </w:body>
</w:document>
</file>