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7a5194cca6b4f75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097-12-0025-01-1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3423018519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бюджетное образовательное учреждение дополнительного образования детей "Палласовская детская школа искусств"  Палласовского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2011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t>Приложение 1: Титульный лист энергетического паспорта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Наименование обследованной организации (объекта)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800"/>
            </w:pPr>
            <w:r>
              <w:t>Приложение 5: Сведения по балансу электрической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2006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Отчетный (базовый) год 2010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Фактические (отчетные)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2006</w:t>
            </w:r>
          </w:p>
        </w:tc>
        <w:tc>
          <w:p>
            <w:pPr>
              <w:numPr>
                <w:ilvl w:val="0"/>
                <w:numId w:val="1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1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pPr>
              <w:numPr>
                <w:ilvl w:val="0"/>
                <w:numId w:val="2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2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pPr>
              <w:numPr>
                <w:ilvl w:val="0"/>
                <w:numId w:val="3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3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pPr>
              <w:numPr>
                <w:ilvl w:val="0"/>
                <w:numId w:val="4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4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pPr>
              <w:numPr>
                <w:ilvl w:val="0"/>
                <w:numId w:val="5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5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000"/>
            </w:pPr>
            <w:r>
              <w:t>Нерациональные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2006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Организационные и малозатратные мероприятия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Проведение разъяснительной работы о необходимости экономии электроэнергии.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Чистка (по графику) светильников и ламп и максимальное использование естественного освещения.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Составление руководств по эксплуатации сантехники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Своевременное устранение утечек воды.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Установка регуляторов воды, аэраторов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Установка тепловых экранов за радиаторами отопления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</w:tbl>
  </w:body>
</w:document>
</file>