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1f4e12a86194dfe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097-11-0007-01-1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3421200360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342101001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учреждение образования "Октябрьская общеобразовательная школа №2"  Октябрьского муниципального района Волгоградской области                                                                                                         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2011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t>Приложение 1: Титульный лист энергетического паспорта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Наименование обследованной организации (объекта)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800"/>
            </w:pPr>
            <w:r>
              <w:t>Приложение 2: Номенклатура основной продукции (работ, услуг)</w:t>
            </w:r>
          </w:p>
        </w:tc>
        <w:tc>
          <w:p>
            <w:r>
              <w:t>Номенклатура продукции не указана</w:t>
            </w:r>
          </w:p>
        </w:tc>
      </w:tr>
      <w:tr>
        <w:tc>
          <w:p>
            <w:pPr>
              <w:ind w:left="800"/>
            </w:pPr>
            <w:r>
              <w:t>Приложение 5: Сведения по балансу электрической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2006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Отчетный (базовый) год 2010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Фактические (отчетные)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2006</w:t>
            </w:r>
          </w:p>
        </w:tc>
        <w:tc>
          <w:p>
            <w:pPr>
              <w:numPr>
                <w:ilvl w:val="0"/>
                <w:numId w:val="1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1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pPr>
              <w:numPr>
                <w:ilvl w:val="0"/>
                <w:numId w:val="2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2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pPr>
              <w:numPr>
                <w:ilvl w:val="0"/>
                <w:numId w:val="3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3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pPr>
              <w:numPr>
                <w:ilvl w:val="0"/>
                <w:numId w:val="4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4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pPr>
              <w:numPr>
                <w:ilvl w:val="0"/>
                <w:numId w:val="5"/>
              </w:numPr>
            </w:pPr>
            <w:r>
              <w:t>Фактические (отчетные) потери не соответствуют данным прихода и расхода</w:t>
            </w:r>
          </w:p>
          <w:p>
            <w:pPr>
              <w:numPr>
                <w:ilvl w:val="0"/>
                <w:numId w:val="5"/>
              </w:numPr>
            </w:pPr>
            <w:r>
              <w:t>Фактические потери не соответствуют сумме технологических и нерациональных потерь</w:t>
            </w:r>
          </w:p>
        </w:tc>
      </w:tr>
      <w:tr>
        <w:tc>
          <w:p>
            <w:pPr>
              <w:ind w:left="2000"/>
            </w:pPr>
            <w:r>
              <w:t>Нерациональные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2006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2400"/>
            </w:pPr>
            <w:r>
              <w:t>Отчетный (базовый) год 2010</w:t>
            </w:r>
          </w:p>
        </w:tc>
        <w:tc>
          <w:p>
            <w:r>
              <w:t>Величина нерациональных потерь не соответствует данным о потерях</w:t>
            </w:r>
          </w:p>
        </w:tc>
      </w:tr>
      <w:tr>
        <w:tc>
          <w:p>
            <w:pPr>
              <w:ind w:left="800"/>
            </w:pPr>
            <w:r>
              <w:t>Приложение 11: Основные технические характеристики и потребление энергетических ресурсов основными технологическими комплексами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Запись технической характеристики и потребления энергетических ресурсов основными технологическими комплексами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Наименование вида основного технологического комплекса</w:t>
            </w:r>
          </w:p>
        </w:tc>
        <w:tc>
          <w:p>
            <w:r>
              <w:t>Наименование вида технологического комплекса не указано</w:t>
            </w:r>
          </w:p>
        </w:tc>
      </w:tr>
      <w:tr>
        <w:tc>
          <w:p>
            <w:pPr>
              <w:ind w:left="1600"/>
            </w:pPr>
            <w:r>
              <w:t>Запись технической характеристики и потребления энергетических ресурсов основными технологическими комплексами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Тип</w:t>
            </w:r>
          </w:p>
        </w:tc>
        <w:tc>
          <w:p>
            <w:r>
              <w:t>Тип не указан</w:t>
            </w:r>
          </w:p>
        </w:tc>
      </w:tr>
      <w:tr>
        <w:tc>
          <w:p>
            <w:pPr>
              <w:ind w:left="2000"/>
            </w:pPr>
            <w:r>
              <w:t>Виды потребляемых энергетических ресурсов, единицы измерения</w:t>
            </w:r>
          </w:p>
        </w:tc>
        <w:tc>
          <w:p>
            <w:r>
              <w:t>Виды потребляемых ЭР не указаны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Организационные и малозатратные мероприятия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Набор записей перечня типовых мероприятий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Поддержание номинальных уровней напряжения в сетях.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Проведение разъяснительной работы о необходимости экономии электроэнергии.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Соблюдение правил эксплуатации кухонного оборудования.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Чистка (по графику) светильников и ламп и максимальное использование естественного освещения.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Своевременное устранение утечек воды.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Составление руководств по эксплуатации сантехники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Снижение потерь тепла с инфильтрующим воздухом путем уплотнения щелей в оконных проемах.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Установка тепловых экранов за радиаторами и регистрами отопления.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1200"/>
            </w:pPr>
            <w:r>
              <w:t>Среднезатратные мероприятия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Набор записей перечня типовых мероприятий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Установка регуляторов воды аэраторов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  <w:tr>
        <w:tc>
          <w:p>
            <w:pPr>
              <w:ind w:left="2000"/>
            </w:pPr>
            <w:r>
              <w:t>Сокращение области приминения ламп накаливания и замена их энергосберегающими.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Согласованный срок внедрения, квартал, год</w:t>
            </w:r>
          </w:p>
        </w:tc>
        <w:tc>
          <w:p>
            <w:r>
              <w:t>Срок внедрения не может быть раньше даты составления паспорта</w:t>
            </w:r>
          </w:p>
        </w:tc>
      </w:tr>
    </w:tbl>
  </w:body>
</w:document>
</file>