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75756f13c9a495d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097-12-0158-15-1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3411014750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341101001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"Гришинская средняя общеобразовательная школа"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Средний срок окупаемости (факт), лет</w:t>
            </w:r>
          </w:p>
        </w:tc>
        <w:tc>
          <w:p>
            <w:r>
              <w:t>Средний срок окупаемости (факт) рассчитан не верно</w:t>
            </w:r>
          </w:p>
        </w:tc>
      </w:tr>
    </w:tbl>
  </w:body>
</w:document>
</file>